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12" w:rsidRDefault="00080C12" w:rsidP="00080C12">
      <w:pPr>
        <w:pStyle w:val="NormalWeb"/>
        <w:spacing w:before="0" w:beforeAutospacing="0" w:after="0" w:afterAutospacing="0"/>
        <w:jc w:val="center"/>
        <w:rPr>
          <w:color w:val="000000"/>
          <w:sz w:val="20"/>
          <w:szCs w:val="20"/>
        </w:rPr>
      </w:pPr>
      <w:r>
        <w:rPr>
          <w:color w:val="000000"/>
          <w:sz w:val="20"/>
          <w:szCs w:val="20"/>
        </w:rPr>
        <w:t>PROCURADORIA GERAL DO MUNICÍPIO</w:t>
      </w:r>
    </w:p>
    <w:p w:rsidR="00080C12" w:rsidRPr="00080C12" w:rsidRDefault="00080C12" w:rsidP="00080C12">
      <w:pPr>
        <w:pStyle w:val="NormalWeb"/>
        <w:spacing w:before="0" w:beforeAutospacing="0" w:after="0" w:afterAutospacing="0"/>
        <w:jc w:val="center"/>
        <w:rPr>
          <w:color w:val="000000"/>
          <w:sz w:val="20"/>
          <w:szCs w:val="20"/>
        </w:rPr>
      </w:pPr>
      <w:r>
        <w:rPr>
          <w:color w:val="000000"/>
          <w:sz w:val="18"/>
          <w:szCs w:val="18"/>
        </w:rPr>
        <w:t>Avenida Brasil n. 200 - Bairro CENTRO - CEP 75075-210 - Anápolis - GO - www.anapolis.go.gov.br</w:t>
      </w:r>
      <w:r>
        <w:rPr>
          <w:color w:val="000000"/>
          <w:sz w:val="18"/>
          <w:szCs w:val="18"/>
        </w:rPr>
        <w:br/>
        <w:t>Sede da Prefeitura</w:t>
      </w:r>
    </w:p>
    <w:p w:rsidR="00080C12" w:rsidRDefault="00080C12" w:rsidP="00080C12">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80C12" w:rsidRPr="00080C12" w:rsidRDefault="00080C12" w:rsidP="00080C12">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80C12">
        <w:rPr>
          <w:rFonts w:ascii="Times New Roman" w:eastAsia="Times New Roman" w:hAnsi="Times New Roman" w:cs="Times New Roman"/>
          <w:b/>
          <w:bCs/>
          <w:caps/>
          <w:color w:val="000000"/>
          <w:sz w:val="26"/>
          <w:szCs w:val="26"/>
          <w:lang w:eastAsia="pt-BR"/>
        </w:rPr>
        <w:t>TERMO</w:t>
      </w:r>
    </w:p>
    <w:p w:rsidR="00080C12" w:rsidRPr="00080C12" w:rsidRDefault="00080C12" w:rsidP="00080C12">
      <w:pPr>
        <w:spacing w:after="120" w:line="240" w:lineRule="auto"/>
        <w:ind w:left="3975"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highlight w:val="yellow"/>
          <w:lang w:eastAsia="pt-BR"/>
        </w:rPr>
        <w:t>TERMO DE FOMENTO Nº 062/202</w:t>
      </w:r>
      <w:r w:rsidRPr="00080C12">
        <w:rPr>
          <w:rFonts w:ascii="Verdana" w:eastAsia="Times New Roman" w:hAnsi="Verdana" w:cs="Calibri"/>
          <w:b/>
          <w:bCs/>
          <w:color w:val="000000"/>
          <w:sz w:val="18"/>
          <w:szCs w:val="18"/>
          <w:lang w:eastAsia="pt-BR"/>
        </w:rPr>
        <w:t>3, QUE ENTRE SI CELEBRAM O MUNICIPIO DE ANÁPOLIS ATRAVÉS DA SECRETARIA MUNICIPAL DE INTEGRAÇÃO - ASSISTÊNCIA SOCIAL, CULTURA, ESPORTE, TRABALHO, EMPREGO E RENDA E A FUNDAÇÃO DE ASSISTENCIA SOCIAL DE ANÁPOLIS - SANTA CASA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firstLine="1134"/>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lang w:eastAsia="pt-BR"/>
        </w:rPr>
        <w:t>O MUNICÍPIO DE ANÁPOLIS, </w:t>
      </w:r>
      <w:r w:rsidRPr="00080C12">
        <w:rPr>
          <w:rFonts w:ascii="Verdana" w:eastAsia="Times New Roman" w:hAnsi="Verdana" w:cs="Calibri"/>
          <w:color w:val="000000"/>
          <w:sz w:val="18"/>
          <w:szCs w:val="18"/>
          <w:lang w:eastAsia="pt-BR"/>
        </w:rPr>
        <w:t xml:space="preserve">pessoa jurídica de direito público interno, inscrito no CNPJ sob o nº 01.067.479/0001-46, com sede administrativa na Avenida Brasil nº 200, Centro Administrativo Municipal, Anápolis-GO, representado pelo Prefeito Municipal Roberto Naves e Siqueira, portador do CPF: 901.770.701-10, e pela Secretária </w:t>
      </w:r>
      <w:proofErr w:type="spellStart"/>
      <w:r w:rsidRPr="00080C12">
        <w:rPr>
          <w:rFonts w:ascii="Verdana" w:eastAsia="Times New Roman" w:hAnsi="Verdana" w:cs="Calibri"/>
          <w:color w:val="000000"/>
          <w:sz w:val="18"/>
          <w:szCs w:val="18"/>
          <w:lang w:eastAsia="pt-BR"/>
        </w:rPr>
        <w:t>firmatária</w:t>
      </w:r>
      <w:proofErr w:type="spellEnd"/>
      <w:r w:rsidRPr="00080C12">
        <w:rPr>
          <w:rFonts w:ascii="Verdana" w:eastAsia="Times New Roman" w:hAnsi="Verdana" w:cs="Calibri"/>
          <w:color w:val="000000"/>
          <w:sz w:val="18"/>
          <w:szCs w:val="18"/>
          <w:lang w:eastAsia="pt-BR"/>
        </w:rPr>
        <w:t>, assistidos juridicamente pela Procuradoria-Geral do Município e do outro lado a</w:t>
      </w:r>
      <w:r w:rsidRPr="00080C12">
        <w:rPr>
          <w:rFonts w:ascii="Verdana" w:eastAsia="Times New Roman" w:hAnsi="Verdana" w:cs="Calibri"/>
          <w:b/>
          <w:bCs/>
          <w:color w:val="000000"/>
          <w:sz w:val="18"/>
          <w:szCs w:val="18"/>
          <w:lang w:eastAsia="pt-BR"/>
        </w:rPr>
        <w:t> FUNDAÇÃO DE ASSISTENCIA SOCIAL DE ANÁPOLIS - SANTA CASA</w:t>
      </w:r>
      <w:r w:rsidRPr="00080C12">
        <w:rPr>
          <w:rFonts w:ascii="Verdana" w:eastAsia="Times New Roman" w:hAnsi="Verdana" w:cs="Calibri"/>
          <w:color w:val="000000"/>
          <w:sz w:val="18"/>
          <w:szCs w:val="18"/>
          <w:lang w:eastAsia="pt-BR"/>
        </w:rPr>
        <w:t>, pessoa jurídica de direito privado – entidade filantrópica, sem finalidade lucrativa, inscrita no CNPJ sob o nº </w:t>
      </w:r>
      <w:bookmarkStart w:id="0" w:name="_Hlk130385507"/>
      <w:r w:rsidRPr="00080C12">
        <w:rPr>
          <w:rFonts w:ascii="Verdana" w:eastAsia="Times New Roman" w:hAnsi="Verdana" w:cs="Calibri"/>
          <w:color w:val="000000"/>
          <w:sz w:val="18"/>
          <w:szCs w:val="18"/>
          <w:lang w:eastAsia="pt-BR"/>
        </w:rPr>
        <w:t>01.038.751/0001-60</w:t>
      </w:r>
      <w:bookmarkEnd w:id="0"/>
      <w:r w:rsidRPr="00080C12">
        <w:rPr>
          <w:rFonts w:ascii="Verdana" w:eastAsia="Times New Roman" w:hAnsi="Verdana" w:cs="Calibri"/>
          <w:color w:val="000000"/>
          <w:sz w:val="18"/>
          <w:szCs w:val="18"/>
          <w:lang w:eastAsia="pt-BR"/>
        </w:rPr>
        <w:t xml:space="preserve">, representada por seu representante legal infra-assinado, com sede na Rua Visconde de Taunay, nº 134, Bairro </w:t>
      </w:r>
      <w:proofErr w:type="spellStart"/>
      <w:r w:rsidRPr="00080C12">
        <w:rPr>
          <w:rFonts w:ascii="Verdana" w:eastAsia="Times New Roman" w:hAnsi="Verdana" w:cs="Calibri"/>
          <w:color w:val="000000"/>
          <w:sz w:val="18"/>
          <w:szCs w:val="18"/>
          <w:lang w:eastAsia="pt-BR"/>
        </w:rPr>
        <w:t>Jundiai</w:t>
      </w:r>
      <w:proofErr w:type="spellEnd"/>
      <w:r w:rsidRPr="00080C12">
        <w:rPr>
          <w:rFonts w:ascii="Verdana" w:eastAsia="Times New Roman" w:hAnsi="Verdana" w:cs="Calibri"/>
          <w:color w:val="000000"/>
          <w:sz w:val="18"/>
          <w:szCs w:val="18"/>
          <w:lang w:eastAsia="pt-BR"/>
        </w:rPr>
        <w:t xml:space="preserve"> Anápolis - GO, resolvem celebrar o presente Termo de Fomento, regendo-se pelo disposto na Lei Complementar nº 101, de 04 de maio de 2000, nas </w:t>
      </w:r>
      <w:proofErr w:type="gramStart"/>
      <w:r w:rsidRPr="00080C12">
        <w:rPr>
          <w:rFonts w:ascii="Verdana" w:eastAsia="Times New Roman" w:hAnsi="Verdana" w:cs="Calibri"/>
          <w:color w:val="000000"/>
          <w:sz w:val="18"/>
          <w:szCs w:val="18"/>
          <w:lang w:eastAsia="pt-BR"/>
        </w:rPr>
        <w:t>correspondentes Lei</w:t>
      </w:r>
      <w:proofErr w:type="gramEnd"/>
      <w:r w:rsidRPr="00080C12">
        <w:rPr>
          <w:rFonts w:ascii="Verdana" w:eastAsia="Times New Roman" w:hAnsi="Verdana" w:cs="Calibri"/>
          <w:color w:val="000000"/>
          <w:sz w:val="18"/>
          <w:szCs w:val="18"/>
          <w:lang w:eastAsia="pt-BR"/>
        </w:rPr>
        <w:t xml:space="preserve"> de Diretrizes Orçamentárias, Lei Orçamentária Anual, na Lei nº 13.019, de 31 de julho de 2.014 e Decreto Municipal 42.674/2018, consoante o processo administrativo nº 01111.00000142/2023 -12 – Decreto de Inexigibilidade de Chamamento Público nº 49.154/2023, mediante as cláusulas e condições seguintes: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PRIMEIRA – DO OBJETO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1.1 - O presente Termo de Fomento tem por objeto a execução do projeto “Acolhimento que Cura” – Desmembramento 04 </w:t>
      </w:r>
      <w:r w:rsidRPr="00080C12">
        <w:rPr>
          <w:rFonts w:ascii="Verdana" w:eastAsia="Times New Roman" w:hAnsi="Verdana" w:cs="Times New Roman"/>
          <w:color w:val="000000"/>
          <w:sz w:val="18"/>
          <w:szCs w:val="18"/>
          <w:lang w:eastAsia="pt-BR"/>
        </w:rPr>
        <w:softHyphen/>
        <w:t>– Custeio da assistência da Fundação de Assistência Social de Anápolis - Santa Casa, conforme Certificado de Aprovação 004/2021 Edital de Chancela, do Conselho Municipal dos Direitos da Criança e Adolescentes (CMDCA);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1.2 - Não poderão ser destinados recursos para atender a despesas vedadas pela respectiva Lei de Diretrizes Orçamentárias e os recursos repassados pela Prefeitura Municipal de Anápolis são destinados exclusivamente para despesas de custeio conforme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SEGUNDA - DAS OBRIGAÇÕES</w:t>
      </w:r>
    </w:p>
    <w:p w:rsidR="00080C12" w:rsidRPr="00080C12" w:rsidRDefault="00080C12" w:rsidP="00080C12">
      <w:pPr>
        <w:spacing w:after="120" w:line="240" w:lineRule="auto"/>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2.1 - São obrigações dos Partícipes:</w:t>
      </w:r>
    </w:p>
    <w:p w:rsidR="00080C12" w:rsidRPr="00080C12" w:rsidRDefault="00080C12" w:rsidP="00080C12">
      <w:pPr>
        <w:spacing w:after="120" w:line="240" w:lineRule="auto"/>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I – DO MUNICÍPIO DE ANÁPOLIS: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a) Fornecer manuais específicos de prestação de contas às organizações da sociedade civil por ocasião da celebração das parcerias, informando previamente e publicando em meios oficiais de comunicação às referidas organizações eventuais alterações no seu conteúdo;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b) Emitir relatório técnico de monitoramento e avaliação da parceria e o submeterá comissão de monitoramento e avaliação designada, que o homologará, independentemente da obrigatoriedade de apresentação da prestação de contas devida pela organização da sociedade civil;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c) 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d) Liberar os recursos por meio de transferência eletrônica e em obediência ao cronograma de desembolso, que guardará consonância com as metas, fases ou etapas de execução do objeto termo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e) Promover o monitoramento e a avaliação do cumprimento do objeto da parceria;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f) 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rsidR="00080C12" w:rsidRPr="00080C12" w:rsidRDefault="00080C12" w:rsidP="00080C12">
      <w:pPr>
        <w:spacing w:after="120" w:line="240" w:lineRule="auto"/>
        <w:ind w:left="720"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II – DA INSTITUIÇÃO: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a) Executar o objeto da parceria de acordo com o Plano de Trabalho, observado o disposto neste instrumento, na Lei Federal n° 13.019/2014, no seu regulamento e nos demais atos normativos aplicáveis.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b) Prestar contas dos recursos recebidos por meio deste Termo de Fomento,</w:t>
      </w:r>
    </w:p>
    <w:p w:rsidR="00080C12" w:rsidRPr="00080C12" w:rsidRDefault="00080C12" w:rsidP="00080C12">
      <w:pPr>
        <w:spacing w:after="120" w:line="240" w:lineRule="auto"/>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c) Manter e movimentar os recursos em conta bancária específica.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d)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e) Responder exclusivamente pelo gerenciamento administrativo e financeiro dos recursos recebidos, inclusive no que diz respeito às despesas de custeio, de investimento e de pessoal;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f) Responder exclusivamente pelo pagamento dos encargos trabalhistas, previdenciários, fiscais e comerciais relacionados à execução do objeto previsto no termo de fomento, não implicando responsabilidade solidária ou subsidiária da administração pública a inadimplência da Instituição em relação ao referido pagamento, os ônus incidentes sobre o objeto da parceria ou os danos decorrentes de restrição à sua execução;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g) As entidades civis, sediadas no Município de Anápolis, que receberem subvenções sociais ou econômicas do Poder Público Municipal, ficam obrigadas a confeccionar e afixar em local visível placa alusiva aos recursos recebidos, para conhecimento da população, conforme detalhado na Lei Municipal nº 3.936 de 24 de outubro de 2017.</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h) O representante legal da entidade </w:t>
      </w:r>
      <w:proofErr w:type="spellStart"/>
      <w:r w:rsidRPr="00080C12">
        <w:rPr>
          <w:rFonts w:ascii="Verdana" w:eastAsia="Times New Roman" w:hAnsi="Verdana" w:cs="Times New Roman"/>
          <w:color w:val="000000"/>
          <w:sz w:val="18"/>
          <w:szCs w:val="18"/>
          <w:lang w:eastAsia="pt-BR"/>
        </w:rPr>
        <w:t>socioassistencial</w:t>
      </w:r>
      <w:proofErr w:type="spellEnd"/>
      <w:r w:rsidRPr="00080C12">
        <w:rPr>
          <w:rFonts w:ascii="Verdana" w:eastAsia="Times New Roman" w:hAnsi="Verdana" w:cs="Times New Roman"/>
          <w:color w:val="000000"/>
          <w:sz w:val="18"/>
          <w:szCs w:val="18"/>
          <w:lang w:eastAsia="pt-BR"/>
        </w:rPr>
        <w:t xml:space="preserve"> deve manter atualizado seu cadastro junto ao Conselho Municipal de Assistência Social, informando especialmente as alterações de seu endereço e da entidade.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Observar diretrizes e normas emanadas dos órgãos competentes do Município.</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j) A entidade/organização da sociedade civil não poderá cobrar da família ou pessoa beneficiada pela gratuidade qualquer </w:t>
      </w:r>
      <w:proofErr w:type="gramStart"/>
      <w:r w:rsidRPr="00080C12">
        <w:rPr>
          <w:rFonts w:ascii="Verdana" w:eastAsia="Times New Roman" w:hAnsi="Verdana" w:cs="Times New Roman"/>
          <w:color w:val="000000"/>
          <w:sz w:val="18"/>
          <w:szCs w:val="18"/>
          <w:lang w:eastAsia="pt-BR"/>
        </w:rPr>
        <w:t>taxa,</w:t>
      </w:r>
      <w:proofErr w:type="gramEnd"/>
      <w:r w:rsidRPr="00080C12">
        <w:rPr>
          <w:rFonts w:ascii="Verdana" w:eastAsia="Times New Roman" w:hAnsi="Verdana" w:cs="Times New Roman"/>
          <w:color w:val="000000"/>
          <w:sz w:val="18"/>
          <w:szCs w:val="18"/>
          <w:lang w:eastAsia="pt-BR"/>
        </w:rPr>
        <w:t xml:space="preserve"> contribuições espontâneas ou mensalidades, pelos atendimentos subsidiados pelo Município por meio do Termo de Fomento.</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k) Encaminhar à Comissão de Monitoramento e Avaliação, relatório de execução do objeto mensurando o alcance dos objetivos.</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l) Deverá constar anexo ao relatório de execução do objeto a relação dos nomes dos usuários atendidos no mês de referência.</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n) </w:t>
      </w:r>
      <w:proofErr w:type="gramStart"/>
      <w:r w:rsidRPr="00080C12">
        <w:rPr>
          <w:rFonts w:ascii="Verdana" w:eastAsia="Times New Roman" w:hAnsi="Verdana" w:cs="Times New Roman"/>
          <w:color w:val="000000"/>
          <w:sz w:val="18"/>
          <w:szCs w:val="18"/>
          <w:lang w:eastAsia="pt-BR"/>
        </w:rPr>
        <w:t>Todos</w:t>
      </w:r>
      <w:proofErr w:type="gramEnd"/>
      <w:r w:rsidRPr="00080C12">
        <w:rPr>
          <w:rFonts w:ascii="Verdana" w:eastAsia="Times New Roman" w:hAnsi="Verdana" w:cs="Times New Roman"/>
          <w:color w:val="000000"/>
          <w:sz w:val="18"/>
          <w:szCs w:val="18"/>
          <w:lang w:eastAsia="pt-BR"/>
        </w:rPr>
        <w:t xml:space="preserve"> usuários dos serviços da Proteção Social Especial de Alta Complexidade deverão ser referenciados aos serviços da </w:t>
      </w:r>
      <w:bookmarkStart w:id="1" w:name="_Hlk130974273"/>
      <w:r w:rsidRPr="00080C12">
        <w:rPr>
          <w:rFonts w:ascii="Verdana" w:eastAsia="Times New Roman" w:hAnsi="Verdana" w:cs="Times New Roman"/>
          <w:color w:val="000000"/>
          <w:sz w:val="18"/>
          <w:szCs w:val="18"/>
          <w:lang w:eastAsia="pt-BR"/>
        </w:rPr>
        <w:t>Secretaria Municipal de Integração - Assistência Social, Cultura, Esporte, Trabalho, Emprego e Renda</w:t>
      </w:r>
      <w:bookmarkEnd w:id="1"/>
      <w:r w:rsidRPr="00080C12">
        <w:rPr>
          <w:rFonts w:ascii="Verdana" w:eastAsia="Times New Roman" w:hAnsi="Verdana" w:cs="Times New Roman"/>
          <w:color w:val="000000"/>
          <w:sz w:val="18"/>
          <w:szCs w:val="18"/>
          <w:lang w:eastAsia="pt-BR"/>
        </w:rPr>
        <w:t>;</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o) Os trabalhadores deverão participar de capacitações destinadas </w:t>
      </w:r>
      <w:proofErr w:type="gramStart"/>
      <w:r w:rsidRPr="00080C12">
        <w:rPr>
          <w:rFonts w:ascii="Verdana" w:eastAsia="Times New Roman" w:hAnsi="Verdana" w:cs="Times New Roman"/>
          <w:color w:val="000000"/>
          <w:sz w:val="18"/>
          <w:szCs w:val="18"/>
          <w:lang w:eastAsia="pt-BR"/>
        </w:rPr>
        <w:t>a</w:t>
      </w:r>
      <w:proofErr w:type="gramEnd"/>
      <w:r w:rsidRPr="00080C12">
        <w:rPr>
          <w:rFonts w:ascii="Verdana" w:eastAsia="Times New Roman" w:hAnsi="Verdana" w:cs="Times New Roman"/>
          <w:color w:val="000000"/>
          <w:sz w:val="18"/>
          <w:szCs w:val="18"/>
          <w:lang w:eastAsia="pt-BR"/>
        </w:rPr>
        <w:t xml:space="preserve"> melhoria na execução dos serviços </w:t>
      </w:r>
      <w:proofErr w:type="spellStart"/>
      <w:r w:rsidRPr="00080C12">
        <w:rPr>
          <w:rFonts w:ascii="Verdana" w:eastAsia="Times New Roman" w:hAnsi="Verdana" w:cs="Times New Roman"/>
          <w:color w:val="000000"/>
          <w:sz w:val="18"/>
          <w:szCs w:val="18"/>
          <w:lang w:eastAsia="pt-BR"/>
        </w:rPr>
        <w:t>socioassistenciais</w:t>
      </w:r>
      <w:proofErr w:type="spellEnd"/>
      <w:r w:rsidRPr="00080C12">
        <w:rPr>
          <w:rFonts w:ascii="Verdana" w:eastAsia="Times New Roman" w:hAnsi="Verdana" w:cs="Times New Roman"/>
          <w:color w:val="000000"/>
          <w:sz w:val="18"/>
          <w:szCs w:val="18"/>
          <w:lang w:eastAsia="pt-BR"/>
        </w:rPr>
        <w:t xml:space="preserve"> quando solicitados e/ou indicados pela Secretaria Municipal de Integração - Assistência Social, Cultura, Esporte, Trabalho, Emprego e Renda.</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p) Manter atualizada e disponível à Secretaria Municipal de Integração - Assistência Social, Cultura, Esporte, Trabalho, Emprego e Renda, toda a documentação das famílias beneficiadas pelo Termo de Fomento.</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q) Manter a equipe de referência exclusiva mediante a carga horária prevista para execução do serviço </w:t>
      </w:r>
      <w:proofErr w:type="spellStart"/>
      <w:r w:rsidRPr="00080C12">
        <w:rPr>
          <w:rFonts w:ascii="Verdana" w:eastAsia="Times New Roman" w:hAnsi="Verdana" w:cs="Times New Roman"/>
          <w:color w:val="000000"/>
          <w:sz w:val="18"/>
          <w:szCs w:val="18"/>
          <w:lang w:eastAsia="pt-BR"/>
        </w:rPr>
        <w:t>socioassistencial</w:t>
      </w:r>
      <w:proofErr w:type="spellEnd"/>
      <w:r w:rsidRPr="00080C12">
        <w:rPr>
          <w:rFonts w:ascii="Verdana" w:eastAsia="Times New Roman" w:hAnsi="Verdana" w:cs="Times New Roman"/>
          <w:color w:val="000000"/>
          <w:sz w:val="18"/>
          <w:szCs w:val="18"/>
          <w:lang w:eastAsia="pt-BR"/>
        </w:rPr>
        <w:t>.</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r) Manter atualizado mensalmente os seguintes documentos e certidões negativas ou positivas com efeito negativo:</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I - Prova de </w:t>
      </w:r>
      <w:proofErr w:type="gramStart"/>
      <w:r w:rsidRPr="00080C12">
        <w:rPr>
          <w:rFonts w:ascii="Verdana" w:eastAsia="Times New Roman" w:hAnsi="Verdana" w:cs="Times New Roman"/>
          <w:color w:val="000000"/>
          <w:sz w:val="18"/>
          <w:szCs w:val="18"/>
          <w:lang w:eastAsia="pt-BR"/>
        </w:rPr>
        <w:t>regularidade relativo ao Fundo de Garantia por Tempo de Serviço (FGTS), demonstrando situação regular no cumprimento dos encargos sociais instituídos por lei</w:t>
      </w:r>
      <w:proofErr w:type="gramEnd"/>
      <w:r w:rsidRPr="00080C12">
        <w:rPr>
          <w:rFonts w:ascii="Verdana" w:eastAsia="Times New Roman" w:hAnsi="Verdana" w:cs="Times New Roman"/>
          <w:color w:val="000000"/>
          <w:sz w:val="18"/>
          <w:szCs w:val="18"/>
          <w:lang w:eastAsia="pt-BR"/>
        </w:rPr>
        <w:t>;</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Prova de regularidade para com as Fazendas Públicas Federal, Estadual e Municipal do domicílio ou sede do licitante, ou outra equivalente, na forma da lei;</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Prova de inexistência de débitos inadimplidos perante a Justiça do Trabalho, mediante a apresentação de Certidão Negativa de Débitos Trabalhistas (CNDT) (conforme Lei Federal nº. 12.440, de 07 de julho de 2011).</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IV - Alvará Sanitário.</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s) Assumir integral responsabilidade, na medida de suas obrigações, pela remuneração e pagamento dos encargos fiscais, trabalhistas, tributários, previdenciários, de seguros, de eventuais danos causados a terceiros e outros similares, eximindo o Município de quaisquer ônus e reivindicações perante terceiros.</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TERCEIRA–DOS RECURSOS FINANCEIROS</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proofErr w:type="gramStart"/>
      <w:r w:rsidRPr="00080C12">
        <w:rPr>
          <w:rFonts w:ascii="Verdana" w:eastAsia="Times New Roman" w:hAnsi="Verdana" w:cs="Arial"/>
          <w:color w:val="000000"/>
          <w:sz w:val="18"/>
          <w:szCs w:val="18"/>
          <w:lang w:eastAsia="pt-BR"/>
        </w:rPr>
        <w:t>3.1 - Os recursos orçamentários correrão à conta da Unidade Orçamentária 1934.08.122.0400.2810 – Apoio</w:t>
      </w:r>
      <w:proofErr w:type="gramEnd"/>
      <w:r w:rsidRPr="00080C12">
        <w:rPr>
          <w:rFonts w:ascii="Verdana" w:eastAsia="Times New Roman" w:hAnsi="Verdana" w:cs="Arial"/>
          <w:color w:val="000000"/>
          <w:sz w:val="18"/>
          <w:szCs w:val="18"/>
          <w:lang w:eastAsia="pt-BR"/>
        </w:rPr>
        <w:t xml:space="preserve"> Administrativo e Financeiro do FIA.</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Arial"/>
          <w:color w:val="000000"/>
          <w:sz w:val="18"/>
          <w:szCs w:val="18"/>
          <w:lang w:eastAsia="pt-BR"/>
        </w:rPr>
        <w:t xml:space="preserve">3.2 – A Administração </w:t>
      </w:r>
      <w:proofErr w:type="gramStart"/>
      <w:r w:rsidRPr="00080C12">
        <w:rPr>
          <w:rFonts w:ascii="Verdana" w:eastAsia="Times New Roman" w:hAnsi="Verdana" w:cs="Arial"/>
          <w:color w:val="000000"/>
          <w:sz w:val="18"/>
          <w:szCs w:val="18"/>
          <w:lang w:eastAsia="pt-BR"/>
        </w:rPr>
        <w:t>disponibilizará,</w:t>
      </w:r>
      <w:proofErr w:type="gramEnd"/>
      <w:r w:rsidRPr="00080C12">
        <w:rPr>
          <w:rFonts w:ascii="Verdana" w:eastAsia="Times New Roman" w:hAnsi="Verdana" w:cs="Arial"/>
          <w:color w:val="000000"/>
          <w:sz w:val="18"/>
          <w:szCs w:val="18"/>
          <w:lang w:eastAsia="pt-BR"/>
        </w:rPr>
        <w:t xml:space="preserve"> para a execução do objeto da parceria recursos financeiros no valor de </w:t>
      </w:r>
      <w:r w:rsidRPr="00080C12">
        <w:rPr>
          <w:rFonts w:ascii="Verdana" w:eastAsia="Times New Roman" w:hAnsi="Verdana" w:cs="Arial"/>
          <w:b/>
          <w:bCs/>
          <w:color w:val="000000"/>
          <w:sz w:val="18"/>
          <w:szCs w:val="18"/>
          <w:lang w:eastAsia="pt-BR"/>
        </w:rPr>
        <w:t>R$ 1.077.114,32 (um milhão setenta e sete mil cento e quatorze reais e trinta e dois centavos)</w:t>
      </w:r>
      <w:r w:rsidRPr="00080C12">
        <w:rPr>
          <w:rFonts w:ascii="Verdana" w:eastAsia="Times New Roman" w:hAnsi="Verdana" w:cs="Arial"/>
          <w:color w:val="000000"/>
          <w:sz w:val="18"/>
          <w:szCs w:val="18"/>
          <w:lang w:eastAsia="pt-BR"/>
        </w:rPr>
        <w:t>, conforme comprovação de captação de recursos.</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Arial"/>
          <w:color w:val="000000"/>
          <w:sz w:val="18"/>
          <w:szCs w:val="18"/>
          <w:lang w:eastAsia="pt-BR"/>
        </w:rPr>
        <w:t>3.3 – O cronograma de desembolso guardará consonância com o plano de trabalho, e o recurso será repassado em uma única parcela.</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QUARTA - DA TRANSFERÊNCIA E APLICAÇÃO DOS RECURSOS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4.1 - O </w:t>
      </w:r>
      <w:r w:rsidRPr="00080C12">
        <w:rPr>
          <w:rFonts w:ascii="Verdana" w:eastAsia="Times New Roman" w:hAnsi="Verdana" w:cs="Times New Roman"/>
          <w:b/>
          <w:bCs/>
          <w:color w:val="000000"/>
          <w:sz w:val="18"/>
          <w:szCs w:val="18"/>
          <w:lang w:eastAsia="pt-BR"/>
        </w:rPr>
        <w:t>MUNICÍPIO DE ANÁPOLIS</w:t>
      </w:r>
      <w:r w:rsidRPr="00080C12">
        <w:rPr>
          <w:rFonts w:ascii="Verdana" w:eastAsia="Times New Roman" w:hAnsi="Verdana" w:cs="Times New Roman"/>
          <w:color w:val="000000"/>
          <w:sz w:val="18"/>
          <w:szCs w:val="18"/>
          <w:lang w:eastAsia="pt-BR"/>
        </w:rPr>
        <w:t> transferirá os recursos em favor da instituição conforme o cronograma de desembolso contido no plano de trabalho, em parcela única, mediante transferência eletrônica sujeita à identificação do beneficiário final e à obrigatoriedade de depósito em sua conta bancária específica vinculada a este instrumento.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4.2 – As parcelas dos recursos transferidos no âmbito da parceria não serão liberadas e ficarão retidas nos seguintes casos: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Quando houver evidências de irregularidade na aplicação de parcelas anteriormente recebida;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Quando constatado desvio de finalidade na aplicação dos recursos ou o inadimplemento da instituição em relação a obrigações estabelecidas no termo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Quando a organização da sociedade civil deixar de adotar sem justificativa suficiente as medidas saneadoras apontadas pela administração pública ou pelos órgãos de controle interno ou externo.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4.3 - 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sob pena de imediata instauração de tomada de contas especial do responsável, providenciada pela autoridade competente da administração pública.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QUINTA - DA EXECUÇÃO DAS DESPESAS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5.1 – O presente termo de fomento deverá ser executado fielmente pelos partícipes, de acordo com as cláusulas pactuadas e as normas de regência, respondendo cada uma pelas </w:t>
      </w:r>
      <w:proofErr w:type="spellStart"/>
      <w:r w:rsidRPr="00080C12">
        <w:rPr>
          <w:rFonts w:ascii="Verdana" w:eastAsia="Times New Roman" w:hAnsi="Verdana" w:cs="Times New Roman"/>
          <w:color w:val="000000"/>
          <w:sz w:val="18"/>
          <w:szCs w:val="18"/>
          <w:lang w:eastAsia="pt-BR"/>
        </w:rPr>
        <w:t>consequências</w:t>
      </w:r>
      <w:proofErr w:type="spellEnd"/>
      <w:r w:rsidRPr="00080C12">
        <w:rPr>
          <w:rFonts w:ascii="Verdana" w:eastAsia="Times New Roman" w:hAnsi="Verdana" w:cs="Times New Roman"/>
          <w:color w:val="000000"/>
          <w:sz w:val="18"/>
          <w:szCs w:val="18"/>
          <w:lang w:eastAsia="pt-BR"/>
        </w:rPr>
        <w:t xml:space="preserve"> de sua inexecução total ou parcial.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5.2 - Fica expressamente vedada a utilização dos recursos transferidos, sob pena de nulidade do ato e responsabilidade do agente ou representante da Instituição, para: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Realização de despesas a título de taxa de administração, de gerência ou similar;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II - Finalidade diversa da estabelecida neste instrumento, ainda que em caráter de emergência;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Realização de despesas em data anterior ou posterior à sua vigência;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IV - Realização de despesas com taxas bancárias, com multas, juros ou correção monetária, inclusive, referentes a pagamentos ou recolhimentos fora dos prazos;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V - Realização de despesas com publicidade, salvo as de caráter educativo, informativo ou de orientação social, das quais não constem nomes, símbolos ou imagens que caracterizem promoção pessoal de autoridades ou servidores públicos; 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VI - Repasses como contribuições, auxílios ou subvenções às instituições privadas com fins lucrativos;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VII - Pagar, a qualquer título, servidor ou empregado público com recursos vinculados à parceria, salvo nas hipóteses previstas em lei específica e na lei de diretrizes orçamentárias.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SEXTA - DA VIGÊNCIA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6.1 - O presente Termo de Fomento </w:t>
      </w:r>
      <w:r w:rsidRPr="00080C12">
        <w:rPr>
          <w:rFonts w:ascii="Verdana" w:eastAsia="Times New Roman" w:hAnsi="Verdana" w:cs="Times New Roman"/>
          <w:b/>
          <w:bCs/>
          <w:color w:val="000000"/>
          <w:sz w:val="18"/>
          <w:szCs w:val="18"/>
          <w:lang w:eastAsia="pt-BR"/>
        </w:rPr>
        <w:t>terá vigência de 06 (seis) meses</w:t>
      </w:r>
      <w:r w:rsidRPr="00080C12">
        <w:rPr>
          <w:rFonts w:ascii="Verdana" w:eastAsia="Times New Roman" w:hAnsi="Verdana" w:cs="Times New Roman"/>
          <w:color w:val="000000"/>
          <w:sz w:val="18"/>
          <w:szCs w:val="18"/>
          <w:lang w:eastAsia="pt-BR"/>
        </w:rPr>
        <w:t> a contar da data de publicação conforme prazo previsto no anexo Plano de Trabalho para a consecução de seu objeto.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6.2 – Se necessário, mediante proposta da Instituição devidamente justificada e formulada, no mínimo, 30 (trinta) dias antes do seu término, e após o cumprimento das demais exigências legais e regulamentares, serão admitidas prorrogações do prazo de vigência do presente Termo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6.3 - Caso haja atraso na liberação dos recursos financeiros, o MUNICÍPIO DE ANÁPOLIS promoverá a prorrogação do prazo de vigência do presente termo de fomento, independentemente de proposta da INSTITUIÇÃO, limitado o prazo de prorrogação ao exato período do atraso verificado.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SÉTIMA – DO MONITORAMENTO, DO ACOMPANHAMENTO E DA FISCALIZAÇÃO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7.1 - O relatório técnico a que se refere o art. 59 da Lei n.º 13.019/2014, sem prejuízo de outros elementos, deverá conter: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Descrição sumária das atividades e metas estabelecidas;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Análise das atividades realizadas, do cumprimento das metas e do impacto do benefício social obtido em razão da execução do objeto até o período, com base nos indicadores estabelecidos e aprovados no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Valores efetivamente transferidos pela administração pública;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IV - Análise dos documentos comprobatórios das despesas apresentados pela organização da sociedade civil na prestação de contas, quando não for comprovado o alcance das metas e resultados estabelecidos no respectivo termo de colaboração ou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V - Análise de eventuais auditorias realizadas pelo controle interno e externo, no âmbito da fiscalização preventiva, bem como de suas conclusões e das medidas que tomaram em decorrência dessas auditorias.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7.2. Na hipótese de inexecução por culpa exclusiva da instituição, a administração pública poderá, exclusivamente para assegurar o atendimento de serviços essenciais à população, por ato próprio e independentemente de autorização judicial, a fim de realizar ou manter a execução das metas ou atividades pactuadas: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Retomar os bens públicos em poder da instituição, qualquer que tenha sido a modalidade ou título que concedeu direitos de uso de tais bens;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OITAVA - DA PRESTAÇÃO DE CONTAS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8.1.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Extrato da conta bancária específica;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Notas e comprovantes fiscais, inclusive recibos, com data do documento, valor, dados da instituição e número do instrumento da parceria;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Comprovante do recolhimento do saldo da conta bancária específica, quando houver;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IV - Material comprobatório do cumprimento do objeto em fotos, vídeos ou outros suportes;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V - Relação de bens adquiridos, produzidos ou construídos, quando for o caso; 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VI - lista de presença do pessoal treinado ou capacitado, quando for o caso.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1.º Serão glosados valores relacionados a metas e resultados descumpridos sem justificativa suficiente.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2.º A organização da sociedade civil prestará contas da boa e regular aplicação dos recursos recebidos no prazo de até noventa dias a partir do término da vigência da parceria ou no final de cada exercício, se a duração da parceria exceder um ano.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8.2. A prestação de contas relativa à execução do termo dar-se-á mediante a análise dos documentos previstos no plano de trabalho, bem como dos seguintes relatórios: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Relatório de execução do objeto, elaborado pela organização da sociedade civil, contendo as atividades ou projetos desenvolvidos para o cumprimento do objeto e o comparativo de metas propostas com os resultados alcançados;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Relatório de execução financeira do termo de fomento, com a descrição das despesas e receitas efetivamente realizadas e sua vinculação com a execução do objeto, na hipótese de descumprimento de metas e resultados estabelecidos no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8.3. A Administração pública municipal considerará ainda em sua análise os seguintes relatórios elaborados internamente, quando houver: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Relatório da visita técnica</w:t>
      </w:r>
      <w:r w:rsidRPr="00080C12">
        <w:rPr>
          <w:rFonts w:ascii="Verdana" w:eastAsia="Times New Roman" w:hAnsi="Verdana" w:cs="Times New Roman"/>
          <w:i/>
          <w:iCs/>
          <w:color w:val="000000"/>
          <w:sz w:val="18"/>
          <w:szCs w:val="18"/>
          <w:lang w:eastAsia="pt-BR"/>
        </w:rPr>
        <w:t> in loco </w:t>
      </w:r>
      <w:r w:rsidRPr="00080C12">
        <w:rPr>
          <w:rFonts w:ascii="Verdana" w:eastAsia="Times New Roman" w:hAnsi="Verdana" w:cs="Times New Roman"/>
          <w:color w:val="000000"/>
          <w:sz w:val="18"/>
          <w:szCs w:val="18"/>
          <w:lang w:eastAsia="pt-BR"/>
        </w:rPr>
        <w:t>realizada durante a execução da parceria;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Relatório técnico de monitoramento e avaliação, homologado pela comissão de monitoramento e avaliação designada, sobre a conformidade do cumprimento do objeto e os resultados alcançados durante a execução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8.4 - Os pareceres técnicos do gestor acerca da prestação de contas, de que trata o art. 67 da Lei nº 13.019, de 2014, deverão conter análise de eficácia e de efetividade das ações quanto: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os resultados já alcançados e seus benefícios;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os impactos econômicos ou sociais;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o grau de qualidade do serviço para o público-alvo.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8.5 - A manifestação conclusiva sobre a prestação de contas pela administração pública observará os prazos previstos na Lei nº 13.019, de 2014, devendo concluir, alternativamente, pela: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Aprovação da prestação de contas;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Aprovação da prestação de contas com ressalvas; ou</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Rejeição da prestação de contas e determinação de imediata instauração de tomada de contas especial.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8.6. Constatada irregularidade ou omissão na prestação de contas, será concedido prazo para a organização </w:t>
      </w:r>
      <w:proofErr w:type="gramStart"/>
      <w:r w:rsidRPr="00080C12">
        <w:rPr>
          <w:rFonts w:ascii="Verdana" w:eastAsia="Times New Roman" w:hAnsi="Verdana" w:cs="Times New Roman"/>
          <w:color w:val="000000"/>
          <w:sz w:val="18"/>
          <w:szCs w:val="18"/>
          <w:lang w:eastAsia="pt-BR"/>
        </w:rPr>
        <w:t>da sociedade civil sanar</w:t>
      </w:r>
      <w:proofErr w:type="gramEnd"/>
      <w:r w:rsidRPr="00080C12">
        <w:rPr>
          <w:rFonts w:ascii="Verdana" w:eastAsia="Times New Roman" w:hAnsi="Verdana" w:cs="Times New Roman"/>
          <w:color w:val="000000"/>
          <w:sz w:val="18"/>
          <w:szCs w:val="18"/>
          <w:lang w:eastAsia="pt-BR"/>
        </w:rPr>
        <w:t xml:space="preserve"> a irregularidade ou cumprir a obrigação.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 2º Transcorrido o prazo para saneamento da irregularidade ou da omissão, não havendo o saneamento, a autoridade administrativa competente, sob pena de responsabilidade solidária, deve adotar as providências </w:t>
      </w:r>
      <w:r w:rsidRPr="00080C12">
        <w:rPr>
          <w:rFonts w:ascii="Verdana" w:eastAsia="Times New Roman" w:hAnsi="Verdana" w:cs="Times New Roman"/>
          <w:color w:val="000000"/>
          <w:sz w:val="18"/>
          <w:szCs w:val="18"/>
          <w:lang w:eastAsia="pt-BR"/>
        </w:rPr>
        <w:lastRenderedPageBreak/>
        <w:t>para apuração dos fatos, identificação dos responsáveis, quantificação do dano e obtenção do ressarcimento, nos termos da legislação vigente.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8.7. A administração pública apreciará a prestação final de contas apresentada, no prazo de até cento e </w:t>
      </w:r>
      <w:proofErr w:type="spellStart"/>
      <w:r w:rsidRPr="00080C12">
        <w:rPr>
          <w:rFonts w:ascii="Verdana" w:eastAsia="Times New Roman" w:hAnsi="Verdana" w:cs="Times New Roman"/>
          <w:color w:val="000000"/>
          <w:sz w:val="18"/>
          <w:szCs w:val="18"/>
          <w:lang w:eastAsia="pt-BR"/>
        </w:rPr>
        <w:t>cinquenta</w:t>
      </w:r>
      <w:proofErr w:type="spellEnd"/>
      <w:r w:rsidRPr="00080C12">
        <w:rPr>
          <w:rFonts w:ascii="Verdana" w:eastAsia="Times New Roman" w:hAnsi="Verdana" w:cs="Times New Roman"/>
          <w:color w:val="000000"/>
          <w:sz w:val="18"/>
          <w:szCs w:val="18"/>
          <w:lang w:eastAsia="pt-BR"/>
        </w:rPr>
        <w:t xml:space="preserve"> dias, contado da data de seu recebimento ou do cumprimento de diligência por ela determinada, prorrogável justificadamente por igual período.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Parágrafo único. O transcurso do prazo definido nos termos do caput sem que as contas tenham sido apreciadas: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não significa impossibilidade de apreciação em data posterior ou vedação a que se adotem medidas saneadoras, punitivas ou destinadas a ressarcir danos que possam ter sido causados aos cofres públicos;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nos casos em que não for constatado dolo da Instituição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8.8. As prestações de contas serão avaliadas: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Regulares, quando expressarem, de forma clara e objetiva, o cumprimento dos objetivos e metas estabelecidos no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Regulares com ressalva, quando evidenciarem impropriedade ou qualquer outra falta de natureza formal que não resulte em dano ao erário;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III - Irregulares, quando comprovada qualquer das seguintes circunstâncias: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a) omissão no dever de prestar contas;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b) descumprimento injustificado dos objetivos e metas estabelecidos no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c) dano ao erário decorrente de ato de gestão ilegítimo ou antieconômico;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d) desfalque ou desvio de dinheiro, bens ou valores públicos.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8.9.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8.10. Quando a prestação de contas for avaliada como irregular, </w:t>
      </w:r>
      <w:proofErr w:type="gramStart"/>
      <w:r w:rsidRPr="00080C12">
        <w:rPr>
          <w:rFonts w:ascii="Verdana" w:eastAsia="Times New Roman" w:hAnsi="Verdana" w:cs="Times New Roman"/>
          <w:color w:val="000000"/>
          <w:sz w:val="18"/>
          <w:szCs w:val="18"/>
          <w:lang w:eastAsia="pt-BR"/>
        </w:rPr>
        <w:t>após</w:t>
      </w:r>
      <w:proofErr w:type="gramEnd"/>
      <w:r w:rsidRPr="00080C12">
        <w:rPr>
          <w:rFonts w:ascii="Verdana" w:eastAsia="Times New Roman" w:hAnsi="Verdana" w:cs="Times New Roman"/>
          <w:color w:val="000000"/>
          <w:sz w:val="18"/>
          <w:szCs w:val="18"/>
          <w:lang w:eastAsia="pt-BR"/>
        </w:rPr>
        <w:t xml:space="preserv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fomento e a área de atuação da organização, cuja mensuração econômica será feita a partir do plano de trabalho original, desde que não tenha havido dolo ou fraude e não seja o caso de restituição integral dos recursos.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8.11. A prestação de contas e todos os atos dela decorrentes serão realizados em plataforma eletrônica, permitida a visualização a qualquer interessado por meio do sítio da Prefeitura de Anápolis.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8.12. O relatório de execução do objeto elaborado pela OSC para publicação na plataforma eletrônica</w:t>
      </w:r>
      <w:proofErr w:type="gramStart"/>
      <w:r w:rsidRPr="00080C12">
        <w:rPr>
          <w:rFonts w:ascii="Verdana" w:eastAsia="Times New Roman" w:hAnsi="Verdana" w:cs="Times New Roman"/>
          <w:color w:val="000000"/>
          <w:sz w:val="18"/>
          <w:szCs w:val="18"/>
          <w:lang w:eastAsia="pt-BR"/>
        </w:rPr>
        <w:t>, deverá</w:t>
      </w:r>
      <w:proofErr w:type="gramEnd"/>
      <w:r w:rsidRPr="00080C12">
        <w:rPr>
          <w:rFonts w:ascii="Verdana" w:eastAsia="Times New Roman" w:hAnsi="Verdana" w:cs="Times New Roman"/>
          <w:color w:val="000000"/>
          <w:sz w:val="18"/>
          <w:szCs w:val="18"/>
          <w:lang w:eastAsia="pt-BR"/>
        </w:rPr>
        <w:t xml:space="preserve"> ser elaborado conforme art. 49 do Decreto Municipal n° 42.674/2018.</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8.13. Para apresentação dos documentos na prestação de contas, os representantes das organizações da sociedade civil deverão possuir certificação digital, observada a legislação pertinente.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8.14. Durante o prazo de 10 (dez) anos, contado do dia útil </w:t>
      </w:r>
      <w:proofErr w:type="spellStart"/>
      <w:r w:rsidRPr="00080C12">
        <w:rPr>
          <w:rFonts w:ascii="Verdana" w:eastAsia="Times New Roman" w:hAnsi="Verdana" w:cs="Times New Roman"/>
          <w:color w:val="000000"/>
          <w:sz w:val="18"/>
          <w:szCs w:val="18"/>
          <w:lang w:eastAsia="pt-BR"/>
        </w:rPr>
        <w:t>subsequente</w:t>
      </w:r>
      <w:proofErr w:type="spellEnd"/>
      <w:r w:rsidRPr="00080C12">
        <w:rPr>
          <w:rFonts w:ascii="Verdana" w:eastAsia="Times New Roman" w:hAnsi="Verdana" w:cs="Times New Roman"/>
          <w:color w:val="000000"/>
          <w:sz w:val="18"/>
          <w:szCs w:val="18"/>
          <w:lang w:eastAsia="pt-BR"/>
        </w:rPr>
        <w:t xml:space="preserve"> ao da prestação de contas, da instituição deve manter em seu arquivo os documentos originais que compõem a prestação de contas.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NONA - DAS ALTERAÇÕES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9.1. A presente parceria poderá ser alterada a qualquer tempo, mediante assinatura de termo aditivo, devendo a solicitação ser encaminhada com antecedência mínima de 30 (trinta) dias em relação à data de término de sua vigência.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9.2. Não é permitida a celebração de aditamento deste Termo de Fomento com alteração da natureza do objeto.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 xml:space="preserve">9.3. As alterações, com exceção das que tenham por finalidade meramente prorrogar o prazo de vigência do ajuste, </w:t>
      </w:r>
      <w:proofErr w:type="gramStart"/>
      <w:r w:rsidRPr="00080C12">
        <w:rPr>
          <w:rFonts w:ascii="Verdana" w:eastAsia="Times New Roman" w:hAnsi="Verdana" w:cs="Times New Roman"/>
          <w:color w:val="000000"/>
          <w:sz w:val="18"/>
          <w:szCs w:val="18"/>
          <w:lang w:eastAsia="pt-BR"/>
        </w:rPr>
        <w:t>deverão ser</w:t>
      </w:r>
      <w:proofErr w:type="gramEnd"/>
      <w:r w:rsidRPr="00080C12">
        <w:rPr>
          <w:rFonts w:ascii="Verdana" w:eastAsia="Times New Roman" w:hAnsi="Verdana" w:cs="Times New Roman"/>
          <w:color w:val="000000"/>
          <w:sz w:val="18"/>
          <w:szCs w:val="18"/>
          <w:lang w:eastAsia="pt-BR"/>
        </w:rPr>
        <w:t xml:space="preserve"> previamente submetidas à Procuradoria-Geral do Município, órgão ao qual deverão os autos ser encaminhados em prazo hábil para análise e parecer.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9.4. É obrigatório o aditamento do presente instrumento, quando se fizer necessária a efetivação de alterações que tenham por objetivo a mudança de valor, das metas, do prazo de vigência ou a utilização de recursos remanescentes do saldo do Termo de Fomento.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DÉCIMA – DAS RESPONSABILIZAÇÕES E DAS SANÇÕES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10.1. Pela execução da parceria em desacordo com o plano de trabalho e com as normas da Lei nº 13.019, de 2014, e da legislação específica, a administração pública poderá, garantida a prévia defesa, aplicar à organização da sociedade civil parceira as seguintes sanções: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advertência;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suspensão temporária da participação em chamamento público e impedimento de celebrar parceria ou contrato com órgãos e entidades da esfera de governo da administração pública sancionadora, por prazo não superior a dois anos;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080C12">
        <w:rPr>
          <w:rFonts w:ascii="Verdana" w:eastAsia="Times New Roman" w:hAnsi="Verdana" w:cs="Times New Roman"/>
          <w:color w:val="000000"/>
          <w:sz w:val="18"/>
          <w:szCs w:val="18"/>
          <w:lang w:eastAsia="pt-BR"/>
        </w:rPr>
        <w:t>após</w:t>
      </w:r>
      <w:proofErr w:type="gramEnd"/>
      <w:r w:rsidRPr="00080C12">
        <w:rPr>
          <w:rFonts w:ascii="Verdana" w:eastAsia="Times New Roman" w:hAnsi="Verdana" w:cs="Times New Roman"/>
          <w:color w:val="000000"/>
          <w:sz w:val="18"/>
          <w:szCs w:val="18"/>
          <w:lang w:eastAsia="pt-BR"/>
        </w:rPr>
        <w:t xml:space="preserve"> decorrido o prazo de dois anos da aplicação da sanção de declaração de inidoneidade.</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10.2. A sanção de advertência tem caráter preventivo e será aplicada quando verificadas impropriedades praticadas pela organização da sociedade civil no âmbito da parceria que não justifiquem a aplicação de penalidade mais grave.</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10.3.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w:t>
      </w:r>
    </w:p>
    <w:p w:rsidR="00080C12" w:rsidRPr="00080C12" w:rsidRDefault="00080C12" w:rsidP="00080C12">
      <w:pPr>
        <w:spacing w:after="120" w:line="240" w:lineRule="auto"/>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 xml:space="preserve">10.4. Da decisão administrativa que aplicar as sanções previstas nos incisos I a III do item 10.1. </w:t>
      </w:r>
      <w:proofErr w:type="gramStart"/>
      <w:r w:rsidRPr="00080C12">
        <w:rPr>
          <w:rFonts w:ascii="Verdana" w:eastAsia="Times New Roman" w:hAnsi="Verdana" w:cs="Calibri"/>
          <w:color w:val="000000"/>
          <w:sz w:val="18"/>
          <w:szCs w:val="18"/>
          <w:lang w:eastAsia="pt-BR"/>
        </w:rPr>
        <w:t>deste</w:t>
      </w:r>
      <w:proofErr w:type="gramEnd"/>
      <w:r w:rsidRPr="00080C12">
        <w:rPr>
          <w:rFonts w:ascii="Verdana" w:eastAsia="Times New Roman" w:hAnsi="Verdana" w:cs="Calibri"/>
          <w:color w:val="000000"/>
          <w:sz w:val="18"/>
          <w:szCs w:val="18"/>
          <w:lang w:eastAsia="pt-BR"/>
        </w:rPr>
        <w:t xml:space="preserve"> Termo, caberá recurso administrativo, no prazo de 10 dias, contado da data de ciência da decisão.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Parágrafo único. A aplicação das sanções de suspensão temporária e de declaração de inidoneidade é de competência exclusiva do Prefeito Municipal.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10.5. Prescreve em cinco anos, contados a partir da data da apresentação da prestação de contas, a aplicação de penalidade decorrente de infração relacionada à execução da parceria.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10.6. A prescrição será interrompida com a edição de ato administrativo voltado à apuração da infração.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DÉCIMA PRIMEIRA – DA PRERROGATIVA DO MUNICÍPIO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11.1. O Município possui a prerrogativa atribuída à administração pública para assumir ou transferir a responsabilidade pela execução do objeto, no caso de paralisação, de modo a evitar sua descontinuidade.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DÉCIMA SEGUNDA- DA DENÚNCIA E DA RESCISÃO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12.1. O presente termo de fomento poderá ser:</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 -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II - Rescindido, independente de prévia notificação ou interpelação judicial ou extrajudicial, nas seguintes hipóteses: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lastRenderedPageBreak/>
        <w:t>a) utilização dos recursos em desacordo com o Plano de Trabalho;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b) inadimplemento de quaisquer das cláusulas pactuadas;</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c) constatação, a qualquer tempo, de falsidade ou incorreção em qualquer documento apresentado;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d) verificação da ocorrência de qualquer circunstância que enseje a instauração de Tomada de Contas Especial.</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III - </w:t>
      </w:r>
      <w:r w:rsidRPr="00080C12">
        <w:rPr>
          <w:rFonts w:ascii="Verdana" w:eastAsia="Times New Roman" w:hAnsi="Verdana" w:cs="Calibri"/>
          <w:color w:val="000000"/>
          <w:sz w:val="18"/>
          <w:szCs w:val="18"/>
          <w:shd w:val="clear" w:color="auto" w:fill="FAFAFA"/>
          <w:lang w:eastAsia="pt-BR"/>
        </w:rPr>
        <w:t>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b/>
          <w:bCs/>
          <w:color w:val="000000"/>
          <w:sz w:val="18"/>
          <w:szCs w:val="18"/>
          <w:lang w:eastAsia="pt-BR"/>
        </w:rPr>
        <w:t>CLÁUSULA DÉCIMA TERCEIRA - DO FORO</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Verdana" w:eastAsia="Times New Roman" w:hAnsi="Verdana" w:cs="Times New Roman"/>
          <w:color w:val="000000"/>
          <w:sz w:val="18"/>
          <w:szCs w:val="18"/>
          <w:lang w:eastAsia="pt-BR"/>
        </w:rPr>
        <w:t>13.1. Será competente para dirimir as controvérsias decorrentes deste termo de fomento, que não possam ser resolvidas pela via administrativa, o foro comarca de Anápolis/GO, com renúncia expressa a outros, por mais privilegiados que forem sendo obrigatória a prévia tentativa de solução administrativa, com a participação de órgão encarregado de assessoramento jurídico integrante da estrutura da administração pública.</w:t>
      </w:r>
    </w:p>
    <w:p w:rsidR="00080C12" w:rsidRPr="00080C12" w:rsidRDefault="00080C12" w:rsidP="00080C12">
      <w:pPr>
        <w:spacing w:after="120" w:line="240" w:lineRule="auto"/>
        <w:ind w:right="-90"/>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ind w:firstLine="567"/>
        <w:jc w:val="both"/>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E, por assim estarem plenamente de acordo, os partícipes obrigam-se ao total e irrenunciável cumprimento dos termos do presente instrumento, o qual lido e achado conforme, foi lavrado em 04 (quatro) vias de igual teor e forma, que vão assinadas pelos partícipes, para que produza seus jurídicos e legais efeitos, em Juízo ou fora dele.</w:t>
      </w:r>
    </w:p>
    <w:p w:rsidR="00080C12" w:rsidRPr="00080C12" w:rsidRDefault="00080C12" w:rsidP="00080C12">
      <w:pPr>
        <w:spacing w:after="0" w:line="240" w:lineRule="auto"/>
        <w:ind w:firstLine="567"/>
        <w:jc w:val="both"/>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right"/>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bookmarkStart w:id="2" w:name="_Hlk135297012"/>
      <w:r w:rsidRPr="00080C12">
        <w:rPr>
          <w:rFonts w:ascii="Verdana" w:eastAsia="Times New Roman" w:hAnsi="Verdana" w:cs="Calibri"/>
          <w:color w:val="000000"/>
          <w:sz w:val="18"/>
          <w:szCs w:val="18"/>
          <w:lang w:eastAsia="pt-BR"/>
        </w:rPr>
        <w:t>Anápolis, datado e assinado digitalmente.</w:t>
      </w:r>
      <w:bookmarkEnd w:id="2"/>
    </w:p>
    <w:p w:rsidR="00080C12" w:rsidRPr="00080C12" w:rsidRDefault="00080C12" w:rsidP="00080C12">
      <w:pPr>
        <w:spacing w:after="165" w:line="240" w:lineRule="auto"/>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165" w:line="240" w:lineRule="auto"/>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lang w:eastAsia="pt-BR"/>
        </w:rPr>
        <w:t>P/ MUNICÍPIO DE ANÁPOLIS:</w:t>
      </w:r>
    </w:p>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Arial"/>
          <w:b/>
          <w:bCs/>
          <w:color w:val="000000"/>
          <w:sz w:val="18"/>
          <w:szCs w:val="18"/>
          <w:lang w:eastAsia="pt-BR"/>
        </w:rPr>
        <w:t>ROBERTO NAVES E SIQUEIRA</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Arial"/>
          <w:color w:val="000000"/>
          <w:sz w:val="18"/>
          <w:szCs w:val="18"/>
          <w:lang w:eastAsia="pt-BR"/>
        </w:rPr>
        <w:t>Prefeito de Anápolis</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lang w:eastAsia="pt-BR"/>
        </w:rPr>
        <w:t>EERIZANIA ENEAS DE FREITAS</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Secretária Municipal de Integração - Assistência Social, Cultura,</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Esporte, Trabalho, Emprego e Renda</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r w:rsidRPr="00080C12">
        <w:rPr>
          <w:rFonts w:ascii="Verdana" w:eastAsia="Times New Roman" w:hAnsi="Verdana" w:cs="Calibri"/>
          <w:b/>
          <w:bCs/>
          <w:color w:val="000000"/>
          <w:sz w:val="18"/>
          <w:szCs w:val="18"/>
          <w:lang w:eastAsia="pt-BR"/>
        </w:rPr>
        <w:t>MÁRCIA BEATRIZ DIAS DOS SANTOS</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Calibri"/>
          <w:color w:val="000000"/>
          <w:sz w:val="18"/>
          <w:szCs w:val="18"/>
          <w:lang w:eastAsia="pt-BR"/>
        </w:rPr>
        <w:t>Fiscal de Contrato</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lang w:eastAsia="pt-BR"/>
        </w:rPr>
        <w:t>P/ INSTITUIÇÃO:</w:t>
      </w:r>
    </w:p>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r w:rsidRPr="00080C12">
        <w:rPr>
          <w:rFonts w:ascii="Times New Roman" w:eastAsia="Times New Roman" w:hAnsi="Times New Roman" w:cs="Times New Roman"/>
          <w:color w:val="000000"/>
          <w:sz w:val="27"/>
          <w:szCs w:val="27"/>
          <w:lang w:eastAsia="pt-BR"/>
        </w:rPr>
        <w:t> </w:t>
      </w:r>
    </w:p>
    <w:p w:rsidR="00080C12" w:rsidRPr="00080C12" w:rsidRDefault="00080C12" w:rsidP="00080C12">
      <w:pPr>
        <w:spacing w:after="0" w:line="240" w:lineRule="auto"/>
        <w:jc w:val="center"/>
        <w:rPr>
          <w:rFonts w:ascii="Times New Roman" w:eastAsia="Times New Roman" w:hAnsi="Times New Roman" w:cs="Times New Roman"/>
          <w:color w:val="000000"/>
          <w:sz w:val="27"/>
          <w:szCs w:val="27"/>
          <w:lang w:eastAsia="pt-BR"/>
        </w:rPr>
      </w:pPr>
      <w:r w:rsidRPr="00080C12">
        <w:rPr>
          <w:rFonts w:ascii="Verdana" w:eastAsia="Times New Roman" w:hAnsi="Verdana" w:cs="Calibri"/>
          <w:b/>
          <w:bCs/>
          <w:color w:val="000000"/>
          <w:sz w:val="18"/>
          <w:szCs w:val="18"/>
          <w:lang w:eastAsia="pt-BR"/>
        </w:rPr>
        <w:t>FUNDAÇÃO DE ASSISTENCIA SOCIAL DE ANÁPOLIS - SANTA CASA</w:t>
      </w:r>
    </w:p>
    <w:p w:rsidR="00080C12" w:rsidRPr="00080C12" w:rsidRDefault="00080C12" w:rsidP="00080C12">
      <w:pPr>
        <w:spacing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9790"/>
      </w:tblGrid>
      <w:tr w:rsidR="00080C12" w:rsidRPr="00080C12" w:rsidTr="00080C12">
        <w:trPr>
          <w:tblCellSpacing w:w="15" w:type="dxa"/>
        </w:trPr>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lang w:eastAsia="pt-BR"/>
              </w:rPr>
            </w:pPr>
            <w:r w:rsidRPr="00080C12">
              <w:rPr>
                <w:rFonts w:ascii="Times New Roman" w:eastAsia="Times New Roman" w:hAnsi="Times New Roman" w:cs="Times New Roman"/>
                <w:color w:val="000000"/>
                <w:lang w:eastAsia="pt-BR"/>
              </w:rPr>
              <w:t>Documento assinado eletronicamente por </w:t>
            </w:r>
            <w:proofErr w:type="spellStart"/>
            <w:r w:rsidRPr="00080C12">
              <w:rPr>
                <w:rFonts w:ascii="Times New Roman" w:eastAsia="Times New Roman" w:hAnsi="Times New Roman" w:cs="Times New Roman"/>
                <w:b/>
                <w:bCs/>
                <w:color w:val="000000"/>
                <w:lang w:eastAsia="pt-BR"/>
              </w:rPr>
              <w:t>Marinêz</w:t>
            </w:r>
            <w:proofErr w:type="spellEnd"/>
            <w:r w:rsidRPr="00080C12">
              <w:rPr>
                <w:rFonts w:ascii="Times New Roman" w:eastAsia="Times New Roman" w:hAnsi="Times New Roman" w:cs="Times New Roman"/>
                <w:b/>
                <w:bCs/>
                <w:color w:val="000000"/>
                <w:lang w:eastAsia="pt-BR"/>
              </w:rPr>
              <w:t xml:space="preserve"> Arantes da Silva</w:t>
            </w:r>
            <w:r w:rsidRPr="00080C12">
              <w:rPr>
                <w:rFonts w:ascii="Times New Roman" w:eastAsia="Times New Roman" w:hAnsi="Times New Roman" w:cs="Times New Roman"/>
                <w:color w:val="000000"/>
                <w:lang w:eastAsia="pt-BR"/>
              </w:rPr>
              <w:t>, </w:t>
            </w:r>
            <w:r w:rsidRPr="00080C12">
              <w:rPr>
                <w:rFonts w:ascii="Times New Roman" w:eastAsia="Times New Roman" w:hAnsi="Times New Roman" w:cs="Times New Roman"/>
                <w:b/>
                <w:bCs/>
                <w:color w:val="000000"/>
                <w:lang w:eastAsia="pt-BR"/>
              </w:rPr>
              <w:t>Usuário Externo</w:t>
            </w:r>
            <w:r w:rsidRPr="00080C12">
              <w:rPr>
                <w:rFonts w:ascii="Times New Roman" w:eastAsia="Times New Roman" w:hAnsi="Times New Roman" w:cs="Times New Roman"/>
                <w:color w:val="000000"/>
                <w:lang w:eastAsia="pt-BR"/>
              </w:rPr>
              <w:t xml:space="preserve">, em 22/06/2023, às </w:t>
            </w:r>
            <w:proofErr w:type="gramStart"/>
            <w:r w:rsidRPr="00080C12">
              <w:rPr>
                <w:rFonts w:ascii="Times New Roman" w:eastAsia="Times New Roman" w:hAnsi="Times New Roman" w:cs="Times New Roman"/>
                <w:color w:val="000000"/>
                <w:lang w:eastAsia="pt-BR"/>
              </w:rPr>
              <w:t>14:58</w:t>
            </w:r>
            <w:proofErr w:type="gramEnd"/>
            <w:r w:rsidRPr="00080C12">
              <w:rPr>
                <w:rFonts w:ascii="Times New Roman" w:eastAsia="Times New Roman" w:hAnsi="Times New Roman" w:cs="Times New Roman"/>
                <w:color w:val="000000"/>
                <w:lang w:eastAsia="pt-BR"/>
              </w:rPr>
              <w:t>, conforme art. 1º, III, "b", da Lei 11.419/2006.</w:t>
            </w:r>
          </w:p>
        </w:tc>
      </w:tr>
    </w:tbl>
    <w:p w:rsidR="00080C12" w:rsidRPr="00080C12" w:rsidRDefault="00080C12" w:rsidP="00080C12">
      <w:pPr>
        <w:spacing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9790"/>
      </w:tblGrid>
      <w:tr w:rsidR="00080C12" w:rsidRPr="00080C12" w:rsidTr="00080C12">
        <w:trPr>
          <w:tblCellSpacing w:w="15" w:type="dxa"/>
        </w:trPr>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lang w:eastAsia="pt-BR"/>
              </w:rPr>
            </w:pPr>
            <w:r w:rsidRPr="00080C12">
              <w:rPr>
                <w:rFonts w:ascii="Times New Roman" w:eastAsia="Times New Roman" w:hAnsi="Times New Roman" w:cs="Times New Roman"/>
                <w:color w:val="000000"/>
                <w:lang w:eastAsia="pt-BR"/>
              </w:rPr>
              <w:t>Documento assinado eletronicamente por </w:t>
            </w:r>
            <w:r w:rsidRPr="00080C12">
              <w:rPr>
                <w:rFonts w:ascii="Times New Roman" w:eastAsia="Times New Roman" w:hAnsi="Times New Roman" w:cs="Times New Roman"/>
                <w:b/>
                <w:bCs/>
                <w:color w:val="000000"/>
                <w:lang w:eastAsia="pt-BR"/>
              </w:rPr>
              <w:t>Márcia Beatriz Dias dos Santos</w:t>
            </w:r>
            <w:r w:rsidRPr="00080C12">
              <w:rPr>
                <w:rFonts w:ascii="Times New Roman" w:eastAsia="Times New Roman" w:hAnsi="Times New Roman" w:cs="Times New Roman"/>
                <w:color w:val="000000"/>
                <w:lang w:eastAsia="pt-BR"/>
              </w:rPr>
              <w:t>, </w:t>
            </w:r>
            <w:r w:rsidRPr="00080C12">
              <w:rPr>
                <w:rFonts w:ascii="Times New Roman" w:eastAsia="Times New Roman" w:hAnsi="Times New Roman" w:cs="Times New Roman"/>
                <w:b/>
                <w:bCs/>
                <w:color w:val="000000"/>
                <w:lang w:eastAsia="pt-BR"/>
              </w:rPr>
              <w:t>Gerente</w:t>
            </w:r>
            <w:r w:rsidRPr="00080C12">
              <w:rPr>
                <w:rFonts w:ascii="Times New Roman" w:eastAsia="Times New Roman" w:hAnsi="Times New Roman" w:cs="Times New Roman"/>
                <w:color w:val="000000"/>
                <w:lang w:eastAsia="pt-BR"/>
              </w:rPr>
              <w:t xml:space="preserve">, em 22/06/2023, às </w:t>
            </w:r>
            <w:proofErr w:type="gramStart"/>
            <w:r w:rsidRPr="00080C12">
              <w:rPr>
                <w:rFonts w:ascii="Times New Roman" w:eastAsia="Times New Roman" w:hAnsi="Times New Roman" w:cs="Times New Roman"/>
                <w:color w:val="000000"/>
                <w:lang w:eastAsia="pt-BR"/>
              </w:rPr>
              <w:t>15:28</w:t>
            </w:r>
            <w:proofErr w:type="gramEnd"/>
            <w:r w:rsidRPr="00080C12">
              <w:rPr>
                <w:rFonts w:ascii="Times New Roman" w:eastAsia="Times New Roman" w:hAnsi="Times New Roman" w:cs="Times New Roman"/>
                <w:color w:val="000000"/>
                <w:lang w:eastAsia="pt-BR"/>
              </w:rPr>
              <w:t>, conforme art. 1º, III, "b", da Lei 11.419/2006.</w:t>
            </w:r>
          </w:p>
        </w:tc>
      </w:tr>
    </w:tbl>
    <w:p w:rsidR="00080C12" w:rsidRPr="00080C12" w:rsidRDefault="00080C12" w:rsidP="00080C12">
      <w:pPr>
        <w:spacing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27"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9790"/>
      </w:tblGrid>
      <w:tr w:rsidR="00080C12" w:rsidRPr="00080C12" w:rsidTr="00080C12">
        <w:trPr>
          <w:tblCellSpacing w:w="15" w:type="dxa"/>
        </w:trPr>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lang w:eastAsia="pt-BR"/>
              </w:rPr>
            </w:pPr>
            <w:r w:rsidRPr="00080C12">
              <w:rPr>
                <w:rFonts w:ascii="Times New Roman" w:eastAsia="Times New Roman" w:hAnsi="Times New Roman" w:cs="Times New Roman"/>
                <w:color w:val="000000"/>
                <w:lang w:eastAsia="pt-BR"/>
              </w:rPr>
              <w:t>Documento assinado eletronicamente por </w:t>
            </w:r>
            <w:proofErr w:type="spellStart"/>
            <w:r w:rsidRPr="00080C12">
              <w:rPr>
                <w:rFonts w:ascii="Times New Roman" w:eastAsia="Times New Roman" w:hAnsi="Times New Roman" w:cs="Times New Roman"/>
                <w:b/>
                <w:bCs/>
                <w:color w:val="000000"/>
                <w:lang w:eastAsia="pt-BR"/>
              </w:rPr>
              <w:t>Eerizania</w:t>
            </w:r>
            <w:proofErr w:type="spellEnd"/>
            <w:r w:rsidRPr="00080C12">
              <w:rPr>
                <w:rFonts w:ascii="Times New Roman" w:eastAsia="Times New Roman" w:hAnsi="Times New Roman" w:cs="Times New Roman"/>
                <w:b/>
                <w:bCs/>
                <w:color w:val="000000"/>
                <w:lang w:eastAsia="pt-BR"/>
              </w:rPr>
              <w:t xml:space="preserve"> </w:t>
            </w:r>
            <w:proofErr w:type="spellStart"/>
            <w:r w:rsidRPr="00080C12">
              <w:rPr>
                <w:rFonts w:ascii="Times New Roman" w:eastAsia="Times New Roman" w:hAnsi="Times New Roman" w:cs="Times New Roman"/>
                <w:b/>
                <w:bCs/>
                <w:color w:val="000000"/>
                <w:lang w:eastAsia="pt-BR"/>
              </w:rPr>
              <w:t>Eneas</w:t>
            </w:r>
            <w:proofErr w:type="spellEnd"/>
            <w:r w:rsidRPr="00080C12">
              <w:rPr>
                <w:rFonts w:ascii="Times New Roman" w:eastAsia="Times New Roman" w:hAnsi="Times New Roman" w:cs="Times New Roman"/>
                <w:b/>
                <w:bCs/>
                <w:color w:val="000000"/>
                <w:lang w:eastAsia="pt-BR"/>
              </w:rPr>
              <w:t xml:space="preserve"> De Freitas</w:t>
            </w:r>
            <w:r w:rsidRPr="00080C12">
              <w:rPr>
                <w:rFonts w:ascii="Times New Roman" w:eastAsia="Times New Roman" w:hAnsi="Times New Roman" w:cs="Times New Roman"/>
                <w:color w:val="000000"/>
                <w:lang w:eastAsia="pt-BR"/>
              </w:rPr>
              <w:t>, </w:t>
            </w:r>
            <w:proofErr w:type="gramStart"/>
            <w:r w:rsidRPr="00080C12">
              <w:rPr>
                <w:rFonts w:ascii="Times New Roman" w:eastAsia="Times New Roman" w:hAnsi="Times New Roman" w:cs="Times New Roman"/>
                <w:b/>
                <w:bCs/>
                <w:color w:val="000000"/>
                <w:lang w:eastAsia="pt-BR"/>
              </w:rPr>
              <w:t>Secretario(</w:t>
            </w:r>
            <w:proofErr w:type="gramEnd"/>
            <w:r w:rsidRPr="00080C12">
              <w:rPr>
                <w:rFonts w:ascii="Times New Roman" w:eastAsia="Times New Roman" w:hAnsi="Times New Roman" w:cs="Times New Roman"/>
                <w:b/>
                <w:bCs/>
                <w:color w:val="000000"/>
                <w:lang w:eastAsia="pt-BR"/>
              </w:rPr>
              <w:t>a)</w:t>
            </w:r>
            <w:r w:rsidRPr="00080C12">
              <w:rPr>
                <w:rFonts w:ascii="Times New Roman" w:eastAsia="Times New Roman" w:hAnsi="Times New Roman" w:cs="Times New Roman"/>
                <w:color w:val="000000"/>
                <w:lang w:eastAsia="pt-BR"/>
              </w:rPr>
              <w:t xml:space="preserve">, em 22/06/2023, às </w:t>
            </w:r>
            <w:r w:rsidRPr="00080C12">
              <w:rPr>
                <w:rFonts w:ascii="Times New Roman" w:eastAsia="Times New Roman" w:hAnsi="Times New Roman" w:cs="Times New Roman"/>
                <w:color w:val="000000"/>
                <w:lang w:eastAsia="pt-BR"/>
              </w:rPr>
              <w:lastRenderedPageBreak/>
              <w:t>15:37, conforme art. 1º, III, "b", da Lei 11.419/2006.</w:t>
            </w:r>
          </w:p>
        </w:tc>
      </w:tr>
    </w:tbl>
    <w:p w:rsidR="00080C12" w:rsidRPr="00080C12" w:rsidRDefault="00080C12" w:rsidP="00080C12">
      <w:pPr>
        <w:spacing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lastRenderedPageBreak/>
        <w:pict>
          <v:rect id="_x0000_i1028"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9790"/>
      </w:tblGrid>
      <w:tr w:rsidR="00080C12" w:rsidRPr="00080C12" w:rsidTr="00080C12">
        <w:trPr>
          <w:tblCellSpacing w:w="15" w:type="dxa"/>
        </w:trPr>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lang w:eastAsia="pt-BR"/>
              </w:rPr>
            </w:pPr>
            <w:r w:rsidRPr="00080C12">
              <w:rPr>
                <w:rFonts w:ascii="Times New Roman" w:eastAsia="Times New Roman" w:hAnsi="Times New Roman" w:cs="Times New Roman"/>
                <w:color w:val="000000"/>
                <w:lang w:eastAsia="pt-BR"/>
              </w:rPr>
              <w:t>Documento assinado eletronicamente por </w:t>
            </w:r>
            <w:r w:rsidRPr="00080C12">
              <w:rPr>
                <w:rFonts w:ascii="Times New Roman" w:eastAsia="Times New Roman" w:hAnsi="Times New Roman" w:cs="Times New Roman"/>
                <w:b/>
                <w:bCs/>
                <w:color w:val="000000"/>
                <w:lang w:eastAsia="pt-BR"/>
              </w:rPr>
              <w:t>ROBERTO NAVES E SIQUEIRA</w:t>
            </w:r>
            <w:r w:rsidRPr="00080C12">
              <w:rPr>
                <w:rFonts w:ascii="Times New Roman" w:eastAsia="Times New Roman" w:hAnsi="Times New Roman" w:cs="Times New Roman"/>
                <w:color w:val="000000"/>
                <w:lang w:eastAsia="pt-BR"/>
              </w:rPr>
              <w:t>, </w:t>
            </w:r>
            <w:r w:rsidRPr="00080C12">
              <w:rPr>
                <w:rFonts w:ascii="Times New Roman" w:eastAsia="Times New Roman" w:hAnsi="Times New Roman" w:cs="Times New Roman"/>
                <w:b/>
                <w:bCs/>
                <w:color w:val="000000"/>
                <w:lang w:eastAsia="pt-BR"/>
              </w:rPr>
              <w:t>Prefeito</w:t>
            </w:r>
            <w:r w:rsidRPr="00080C12">
              <w:rPr>
                <w:rFonts w:ascii="Times New Roman" w:eastAsia="Times New Roman" w:hAnsi="Times New Roman" w:cs="Times New Roman"/>
                <w:color w:val="000000"/>
                <w:lang w:eastAsia="pt-BR"/>
              </w:rPr>
              <w:t xml:space="preserve">, em 22/06/2023, às </w:t>
            </w:r>
            <w:proofErr w:type="gramStart"/>
            <w:r w:rsidRPr="00080C12">
              <w:rPr>
                <w:rFonts w:ascii="Times New Roman" w:eastAsia="Times New Roman" w:hAnsi="Times New Roman" w:cs="Times New Roman"/>
                <w:color w:val="000000"/>
                <w:lang w:eastAsia="pt-BR"/>
              </w:rPr>
              <w:t>15:49</w:t>
            </w:r>
            <w:proofErr w:type="gramEnd"/>
            <w:r w:rsidRPr="00080C12">
              <w:rPr>
                <w:rFonts w:ascii="Times New Roman" w:eastAsia="Times New Roman" w:hAnsi="Times New Roman" w:cs="Times New Roman"/>
                <w:color w:val="000000"/>
                <w:lang w:eastAsia="pt-BR"/>
              </w:rPr>
              <w:t>, conforme art. 1º, III, "b", da Lei 11.419/2006.</w:t>
            </w:r>
          </w:p>
        </w:tc>
      </w:tr>
    </w:tbl>
    <w:p w:rsidR="00080C12" w:rsidRPr="00080C12" w:rsidRDefault="00080C12" w:rsidP="00080C12">
      <w:pPr>
        <w:spacing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29"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9790"/>
      </w:tblGrid>
      <w:tr w:rsidR="00080C12" w:rsidRPr="00080C12" w:rsidTr="00080C12">
        <w:trPr>
          <w:tblCellSpacing w:w="15" w:type="dxa"/>
        </w:trPr>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080C12" w:rsidRPr="00080C12" w:rsidRDefault="00080C12" w:rsidP="00080C12">
            <w:pPr>
              <w:spacing w:after="0" w:line="240" w:lineRule="auto"/>
              <w:rPr>
                <w:rFonts w:ascii="Times New Roman" w:eastAsia="Times New Roman" w:hAnsi="Times New Roman" w:cs="Times New Roman"/>
                <w:color w:val="000000"/>
                <w:lang w:eastAsia="pt-BR"/>
              </w:rPr>
            </w:pPr>
            <w:r w:rsidRPr="00080C12">
              <w:rPr>
                <w:rFonts w:ascii="Times New Roman" w:eastAsia="Times New Roman" w:hAnsi="Times New Roman" w:cs="Times New Roman"/>
                <w:color w:val="000000"/>
                <w:lang w:eastAsia="pt-BR"/>
              </w:rPr>
              <w:t xml:space="preserve">A autenticidade do documento pode ser conferida no site </w:t>
            </w:r>
            <w:proofErr w:type="gramStart"/>
            <w:r w:rsidRPr="00080C12">
              <w:rPr>
                <w:rFonts w:ascii="Times New Roman" w:eastAsia="Times New Roman" w:hAnsi="Times New Roman" w:cs="Times New Roman"/>
                <w:color w:val="000000"/>
                <w:lang w:eastAsia="pt-BR"/>
              </w:rPr>
              <w:t>https</w:t>
            </w:r>
            <w:proofErr w:type="gramEnd"/>
            <w:r w:rsidRPr="00080C12">
              <w:rPr>
                <w:rFonts w:ascii="Times New Roman" w:eastAsia="Times New Roman" w:hAnsi="Times New Roman" w:cs="Times New Roman"/>
                <w:color w:val="000000"/>
                <w:lang w:eastAsia="pt-BR"/>
              </w:rPr>
              <w:t>://sei.anapolis.go.gov.br/sei/controlador_externo.php?</w:t>
            </w:r>
            <w:proofErr w:type="gramStart"/>
            <w:r w:rsidRPr="00080C12">
              <w:rPr>
                <w:rFonts w:ascii="Times New Roman" w:eastAsia="Times New Roman" w:hAnsi="Times New Roman" w:cs="Times New Roman"/>
                <w:color w:val="000000"/>
                <w:lang w:eastAsia="pt-BR"/>
              </w:rPr>
              <w:t>acao</w:t>
            </w:r>
            <w:proofErr w:type="gramEnd"/>
            <w:r w:rsidRPr="00080C12">
              <w:rPr>
                <w:rFonts w:ascii="Times New Roman" w:eastAsia="Times New Roman" w:hAnsi="Times New Roman" w:cs="Times New Roman"/>
                <w:color w:val="000000"/>
                <w:lang w:eastAsia="pt-BR"/>
              </w:rPr>
              <w:t>=documento_conferir&amp;id_orgao_acesso_externo=0 informando o código verificador </w:t>
            </w:r>
            <w:r w:rsidRPr="00080C12">
              <w:rPr>
                <w:rFonts w:ascii="Times New Roman" w:eastAsia="Times New Roman" w:hAnsi="Times New Roman" w:cs="Times New Roman"/>
                <w:b/>
                <w:bCs/>
                <w:color w:val="000000"/>
                <w:lang w:eastAsia="pt-BR"/>
              </w:rPr>
              <w:t>0272198</w:t>
            </w:r>
            <w:r w:rsidRPr="00080C12">
              <w:rPr>
                <w:rFonts w:ascii="Times New Roman" w:eastAsia="Times New Roman" w:hAnsi="Times New Roman" w:cs="Times New Roman"/>
                <w:color w:val="000000"/>
                <w:lang w:eastAsia="pt-BR"/>
              </w:rPr>
              <w:t> e o código CRC </w:t>
            </w:r>
            <w:r w:rsidRPr="00080C12">
              <w:rPr>
                <w:rFonts w:ascii="Times New Roman" w:eastAsia="Times New Roman" w:hAnsi="Times New Roman" w:cs="Times New Roman"/>
                <w:b/>
                <w:bCs/>
                <w:color w:val="000000"/>
                <w:lang w:eastAsia="pt-BR"/>
              </w:rPr>
              <w:t>F195891F</w:t>
            </w:r>
            <w:r w:rsidRPr="00080C12">
              <w:rPr>
                <w:rFonts w:ascii="Times New Roman" w:eastAsia="Times New Roman" w:hAnsi="Times New Roman" w:cs="Times New Roman"/>
                <w:color w:val="000000"/>
                <w:lang w:eastAsia="pt-BR"/>
              </w:rPr>
              <w:t>.</w:t>
            </w:r>
          </w:p>
        </w:tc>
      </w:tr>
    </w:tbl>
    <w:p w:rsidR="00080C12" w:rsidRPr="00080C12" w:rsidRDefault="00080C12" w:rsidP="00080C12">
      <w:pPr>
        <w:spacing w:before="15"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30" style="width:0;height:1.5pt" o:hralign="center" o:hrstd="t" o:hrnoshade="t" o:hr="t" fillcolor="black" stroked="f"/>
        </w:pict>
      </w:r>
    </w:p>
    <w:p w:rsidR="00080C12" w:rsidRPr="00080C12" w:rsidRDefault="00080C12" w:rsidP="00080C12">
      <w:pPr>
        <w:spacing w:before="15" w:after="0" w:line="240" w:lineRule="auto"/>
        <w:rPr>
          <w:rFonts w:ascii="Times New Roman" w:eastAsia="Times New Roman" w:hAnsi="Times New Roman" w:cs="Times New Roman"/>
          <w:sz w:val="24"/>
          <w:szCs w:val="24"/>
          <w:lang w:eastAsia="pt-BR"/>
        </w:rPr>
      </w:pPr>
    </w:p>
    <w:p w:rsidR="00080C12" w:rsidRPr="00080C12" w:rsidRDefault="00080C12" w:rsidP="00080C12">
      <w:pPr>
        <w:spacing w:before="75" w:after="0" w:line="240" w:lineRule="auto"/>
        <w:rPr>
          <w:rFonts w:ascii="Times New Roman" w:eastAsia="Times New Roman" w:hAnsi="Times New Roman" w:cs="Times New Roman"/>
          <w:sz w:val="24"/>
          <w:szCs w:val="24"/>
          <w:lang w:eastAsia="pt-BR"/>
        </w:rPr>
      </w:pPr>
      <w:r w:rsidRPr="00080C12">
        <w:rPr>
          <w:rFonts w:ascii="Times New Roman" w:eastAsia="Times New Roman" w:hAnsi="Times New Roman" w:cs="Times New Roman"/>
          <w:sz w:val="24"/>
          <w:szCs w:val="24"/>
          <w:lang w:eastAsia="pt-BR"/>
        </w:rPr>
        <w:pict>
          <v:rect id="_x0000_i1031"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tblPr>
      <w:tblGrid>
        <w:gridCol w:w="4920"/>
        <w:gridCol w:w="4921"/>
      </w:tblGrid>
      <w:tr w:rsidR="00080C12" w:rsidRPr="00080C12" w:rsidTr="00080C12">
        <w:trPr>
          <w:tblCellSpacing w:w="0" w:type="dxa"/>
        </w:trPr>
        <w:tc>
          <w:tcPr>
            <w:tcW w:w="2500" w:type="pct"/>
            <w:tcBorders>
              <w:top w:val="nil"/>
              <w:left w:val="nil"/>
              <w:bottom w:val="nil"/>
              <w:right w:val="nil"/>
            </w:tcBorders>
            <w:vAlign w:val="center"/>
            <w:hideMark/>
          </w:tcPr>
          <w:p w:rsidR="00080C12" w:rsidRPr="00080C12" w:rsidRDefault="00080C12" w:rsidP="00080C12">
            <w:pPr>
              <w:spacing w:after="0" w:line="240" w:lineRule="auto"/>
              <w:rPr>
                <w:rFonts w:ascii="Times New Roman" w:eastAsia="Times New Roman" w:hAnsi="Times New Roman" w:cs="Times New Roman"/>
                <w:color w:val="000000"/>
                <w:sz w:val="18"/>
                <w:szCs w:val="18"/>
                <w:lang w:eastAsia="pt-BR"/>
              </w:rPr>
            </w:pPr>
            <w:r w:rsidRPr="00080C12">
              <w:rPr>
                <w:rFonts w:ascii="Times New Roman" w:eastAsia="Times New Roman" w:hAnsi="Times New Roman" w:cs="Times New Roman"/>
                <w:color w:val="000000"/>
                <w:sz w:val="18"/>
                <w:szCs w:val="18"/>
                <w:lang w:eastAsia="pt-BR"/>
              </w:rPr>
              <w:t>01111.00000142/2023-12</w:t>
            </w:r>
          </w:p>
        </w:tc>
        <w:tc>
          <w:tcPr>
            <w:tcW w:w="2500" w:type="pct"/>
            <w:tcBorders>
              <w:top w:val="nil"/>
              <w:left w:val="nil"/>
              <w:bottom w:val="nil"/>
              <w:right w:val="nil"/>
            </w:tcBorders>
            <w:vAlign w:val="center"/>
            <w:hideMark/>
          </w:tcPr>
          <w:p w:rsidR="00080C12" w:rsidRPr="00080C12" w:rsidRDefault="00080C12" w:rsidP="00080C12">
            <w:pPr>
              <w:spacing w:after="0" w:line="240" w:lineRule="auto"/>
              <w:jc w:val="right"/>
              <w:rPr>
                <w:rFonts w:ascii="Times New Roman" w:eastAsia="Times New Roman" w:hAnsi="Times New Roman" w:cs="Times New Roman"/>
                <w:color w:val="000000"/>
                <w:sz w:val="18"/>
                <w:szCs w:val="18"/>
                <w:lang w:eastAsia="pt-BR"/>
              </w:rPr>
            </w:pPr>
            <w:proofErr w:type="gramStart"/>
            <w:r w:rsidRPr="00080C12">
              <w:rPr>
                <w:rFonts w:ascii="Times New Roman" w:eastAsia="Times New Roman" w:hAnsi="Times New Roman" w:cs="Times New Roman"/>
                <w:color w:val="000000"/>
                <w:sz w:val="18"/>
                <w:szCs w:val="18"/>
                <w:lang w:eastAsia="pt-BR"/>
              </w:rPr>
              <w:t>0272198v</w:t>
            </w:r>
            <w:proofErr w:type="gramEnd"/>
          </w:p>
        </w:tc>
      </w:tr>
    </w:tbl>
    <w:p w:rsidR="008100E3" w:rsidRDefault="00080C12" w:rsidP="00080C12">
      <w:pPr>
        <w:spacing w:after="0" w:line="240" w:lineRule="auto"/>
      </w:pPr>
    </w:p>
    <w:sectPr w:rsidR="008100E3" w:rsidSect="00080C12">
      <w:headerReference w:type="default" r:id="rId6"/>
      <w:pgSz w:w="11906" w:h="16838"/>
      <w:pgMar w:top="1417" w:right="849" w:bottom="1417"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C12" w:rsidRDefault="00080C12" w:rsidP="00080C12">
      <w:pPr>
        <w:spacing w:after="0" w:line="240" w:lineRule="auto"/>
      </w:pPr>
      <w:r>
        <w:separator/>
      </w:r>
    </w:p>
  </w:endnote>
  <w:endnote w:type="continuationSeparator" w:id="1">
    <w:p w:rsidR="00080C12" w:rsidRDefault="00080C12" w:rsidP="00080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C12" w:rsidRDefault="00080C12" w:rsidP="00080C12">
      <w:pPr>
        <w:spacing w:after="0" w:line="240" w:lineRule="auto"/>
      </w:pPr>
      <w:r>
        <w:separator/>
      </w:r>
    </w:p>
  </w:footnote>
  <w:footnote w:type="continuationSeparator" w:id="1">
    <w:p w:rsidR="00080C12" w:rsidRDefault="00080C12" w:rsidP="00080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2" w:rsidRDefault="00080C12" w:rsidP="00080C12">
    <w:pPr>
      <w:pStyle w:val="Cabealho"/>
      <w:jc w:val="center"/>
    </w:pPr>
    <w:r>
      <w:rPr>
        <w:noProof/>
        <w:lang w:eastAsia="pt-BR"/>
      </w:rPr>
      <w:drawing>
        <wp:inline distT="0" distB="0" distL="0" distR="0">
          <wp:extent cx="4121953" cy="88621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4131280" cy="8882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080C12"/>
    <w:rsid w:val="00080C12"/>
    <w:rsid w:val="00427CF2"/>
    <w:rsid w:val="006B4B1B"/>
    <w:rsid w:val="008E62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80C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080C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80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0C12"/>
  </w:style>
  <w:style w:type="paragraph" w:styleId="Rodap">
    <w:name w:val="footer"/>
    <w:basedOn w:val="Normal"/>
    <w:link w:val="RodapChar"/>
    <w:uiPriority w:val="99"/>
    <w:semiHidden/>
    <w:unhideWhenUsed/>
    <w:rsid w:val="00080C1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80C12"/>
  </w:style>
  <w:style w:type="paragraph" w:styleId="Textodebalo">
    <w:name w:val="Balloon Text"/>
    <w:basedOn w:val="Normal"/>
    <w:link w:val="TextodebaloChar"/>
    <w:uiPriority w:val="99"/>
    <w:semiHidden/>
    <w:unhideWhenUsed/>
    <w:rsid w:val="00080C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0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866308">
      <w:bodyDiv w:val="1"/>
      <w:marLeft w:val="0"/>
      <w:marRight w:val="0"/>
      <w:marTop w:val="0"/>
      <w:marBottom w:val="0"/>
      <w:divBdr>
        <w:top w:val="none" w:sz="0" w:space="0" w:color="auto"/>
        <w:left w:val="none" w:sz="0" w:space="0" w:color="auto"/>
        <w:bottom w:val="none" w:sz="0" w:space="0" w:color="auto"/>
        <w:right w:val="none" w:sz="0" w:space="0" w:color="auto"/>
      </w:divBdr>
    </w:div>
    <w:div w:id="19513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4349</Words>
  <Characters>23489</Characters>
  <Application>Microsoft Office Word</Application>
  <DocSecurity>0</DocSecurity>
  <Lines>195</Lines>
  <Paragraphs>55</Paragraphs>
  <ScaleCrop>false</ScaleCrop>
  <Company/>
  <LinksUpToDate>false</LinksUpToDate>
  <CharactersWithSpaces>27783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maria.pires</dc:creator>
  <cp:lastModifiedBy>maria.pires</cp:lastModifiedBy>
  <cp:revision>1</cp:revision>
  <dcterms:created xsi:type="dcterms:W3CDTF">2023-06-23T11:43:00Z</dcterms:created>
  <dcterms:modified xsi:type="dcterms:W3CDTF">2023-06-23T11:51:00Z</dcterms:modified>
</cp:coreProperties>
</file>